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681339">
        <w:rPr>
          <w:sz w:val="24"/>
          <w:szCs w:val="24"/>
        </w:rPr>
        <w:t>1</w:t>
      </w:r>
      <w:r w:rsidR="00AB2A17">
        <w:rPr>
          <w:sz w:val="24"/>
          <w:szCs w:val="24"/>
        </w:rPr>
        <w:t>9</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AB2A17" w:rsidRPr="00AB2A17">
        <w:rPr>
          <w:rFonts w:ascii="Times New Roman" w:hAnsi="Times New Roman"/>
          <w:sz w:val="24"/>
          <w:szCs w:val="24"/>
          <w:highlight w:val="yellow"/>
          <w:lang w:val="kk-KZ"/>
        </w:rPr>
        <w:t>21</w:t>
      </w:r>
      <w:r w:rsidR="001213A4" w:rsidRPr="00681339">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AB2A17">
        <w:rPr>
          <w:rFonts w:ascii="Times New Roman" w:hAnsi="Times New Roman"/>
          <w:b/>
          <w:sz w:val="24"/>
          <w:szCs w:val="24"/>
          <w:highlight w:val="yellow"/>
          <w:lang w:val="kk-KZ"/>
        </w:rPr>
        <w:t>21</w:t>
      </w:r>
      <w:r w:rsidRPr="001C7674">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w:t>
      </w:r>
      <w:r w:rsidR="00AB2A17">
        <w:rPr>
          <w:rFonts w:ascii="Times New Roman" w:hAnsi="Times New Roman"/>
          <w:b/>
          <w:sz w:val="24"/>
          <w:szCs w:val="24"/>
          <w:highlight w:val="yellow"/>
          <w:lang w:val="kk-KZ"/>
        </w:rPr>
        <w:t>29</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AB2A17" w:rsidRPr="00AB2A17">
        <w:rPr>
          <w:rFonts w:ascii="Times New Roman" w:hAnsi="Times New Roman"/>
          <w:b/>
          <w:sz w:val="24"/>
          <w:szCs w:val="24"/>
          <w:highlight w:val="yellow"/>
          <w:lang w:val="kk-KZ"/>
        </w:rPr>
        <w:t>29</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EE0A23" w:rsidRDefault="00EE0A23" w:rsidP="00FC7179">
      <w:pPr>
        <w:spacing w:after="0"/>
        <w:rPr>
          <w:rFonts w:ascii="Times New Roman" w:hAnsi="Times New Roman"/>
          <w:sz w:val="24"/>
          <w:szCs w:val="24"/>
          <w:lang w:val="kk-KZ"/>
        </w:rPr>
      </w:pPr>
      <w:r w:rsidRPr="00EE0A23">
        <w:rPr>
          <w:rFonts w:ascii="Times New Roman" w:hAnsi="Times New Roman"/>
          <w:sz w:val="24"/>
          <w:szCs w:val="24"/>
          <w:lang w:val="kk-KZ"/>
        </w:rPr>
        <w:t>Б</w:t>
      </w:r>
      <w:r w:rsidR="008845A2">
        <w:rPr>
          <w:rFonts w:ascii="Times New Roman" w:hAnsi="Times New Roman"/>
          <w:sz w:val="24"/>
          <w:szCs w:val="24"/>
          <w:lang w:val="kk-KZ"/>
        </w:rPr>
        <w:t>у</w:t>
      </w:r>
      <w:r w:rsidRPr="00EE0A23">
        <w:rPr>
          <w:rFonts w:ascii="Times New Roman" w:hAnsi="Times New Roman"/>
          <w:sz w:val="24"/>
          <w:szCs w:val="24"/>
          <w:lang w:val="kk-KZ"/>
        </w:rPr>
        <w:t>латова Ш. Б. -  дәріхана меңгерушісінің м.</w:t>
      </w:r>
      <w:r>
        <w:rPr>
          <w:rFonts w:ascii="Times New Roman" w:hAnsi="Times New Roman"/>
          <w:sz w:val="24"/>
          <w:szCs w:val="24"/>
          <w:lang w:val="kk-KZ"/>
        </w:rPr>
        <w:t>у.</w:t>
      </w:r>
      <w:r w:rsidRPr="00EE0A23">
        <w:rPr>
          <w:rFonts w:ascii="Times New Roman" w:hAnsi="Times New Roman"/>
          <w:sz w:val="24"/>
          <w:szCs w:val="24"/>
          <w:lang w:val="kk-KZ"/>
        </w:rPr>
        <w:t xml:space="preserve"> а.</w:t>
      </w:r>
    </w:p>
    <w:p w:rsidR="00210DD7" w:rsidRPr="005D7DEA"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42048D">
        <w:rPr>
          <w:rFonts w:ascii="Times New Roman" w:hAnsi="Times New Roman"/>
          <w:b/>
          <w:bCs/>
          <w:sz w:val="24"/>
          <w:szCs w:val="24"/>
        </w:rPr>
        <w:t>1</w:t>
      </w:r>
      <w:r w:rsidR="00AB2A17">
        <w:rPr>
          <w:rFonts w:ascii="Times New Roman" w:hAnsi="Times New Roman"/>
          <w:b/>
          <w:bCs/>
          <w:sz w:val="24"/>
          <w:szCs w:val="24"/>
        </w:rPr>
        <w:t>9</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AB2A17" w:rsidRPr="00AB2A17">
        <w:rPr>
          <w:rFonts w:ascii="Times New Roman" w:hAnsi="Times New Roman"/>
          <w:sz w:val="24"/>
          <w:szCs w:val="24"/>
          <w:highlight w:val="yellow"/>
        </w:rPr>
        <w:t>21</w:t>
      </w:r>
      <w:r w:rsidR="00C602A8" w:rsidRPr="00FC7179">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AB2A17">
        <w:rPr>
          <w:rFonts w:ascii="Times New Roman" w:hAnsi="Times New Roman"/>
          <w:b/>
          <w:sz w:val="24"/>
          <w:szCs w:val="24"/>
          <w:highlight w:val="yellow"/>
        </w:rPr>
        <w:t>21</w:t>
      </w:r>
      <w:r w:rsidR="001213A4" w:rsidRPr="005D7DEA">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AB2A17">
        <w:rPr>
          <w:rFonts w:ascii="Times New Roman" w:hAnsi="Times New Roman"/>
          <w:b/>
          <w:sz w:val="24"/>
          <w:szCs w:val="24"/>
          <w:highlight w:val="yellow"/>
        </w:rPr>
        <w:t>29</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AB2A17" w:rsidRPr="00AB2A17">
        <w:rPr>
          <w:rFonts w:ascii="Times New Roman" w:hAnsi="Times New Roman"/>
          <w:b/>
          <w:sz w:val="24"/>
          <w:szCs w:val="24"/>
          <w:highlight w:val="yellow"/>
        </w:rPr>
        <w:t>29</w:t>
      </w:r>
      <w:r w:rsidR="00C602A8" w:rsidRPr="00681339">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EE0A23" w:rsidP="001425FD">
      <w:pPr>
        <w:spacing w:after="0"/>
        <w:rPr>
          <w:rFonts w:ascii="Times New Roman" w:hAnsi="Times New Roman"/>
          <w:sz w:val="24"/>
          <w:szCs w:val="24"/>
        </w:rPr>
      </w:pPr>
      <w:r>
        <w:rPr>
          <w:rFonts w:ascii="Times New Roman" w:hAnsi="Times New Roman"/>
          <w:sz w:val="24"/>
          <w:szCs w:val="24"/>
        </w:rPr>
        <w:t>Булатова Ш. Б. – вр. и. о.</w:t>
      </w:r>
      <w:r w:rsidR="001425FD" w:rsidRPr="005D7DEA">
        <w:rPr>
          <w:rFonts w:ascii="Times New Roman" w:hAnsi="Times New Roman"/>
          <w:sz w:val="24"/>
          <w:szCs w:val="24"/>
        </w:rPr>
        <w:t xml:space="preserve"> Заведующ</w:t>
      </w:r>
      <w:r>
        <w:rPr>
          <w:rFonts w:ascii="Times New Roman" w:hAnsi="Times New Roman"/>
          <w:sz w:val="24"/>
          <w:szCs w:val="24"/>
        </w:rPr>
        <w:t>ей</w:t>
      </w:r>
      <w:r w:rsidR="001425FD" w:rsidRPr="005D7DEA">
        <w:rPr>
          <w:rFonts w:ascii="Times New Roman" w:hAnsi="Times New Roman"/>
          <w:sz w:val="24"/>
          <w:szCs w:val="24"/>
        </w:rPr>
        <w:t xml:space="preserve"> аптеки</w:t>
      </w:r>
    </w:p>
    <w:p w:rsidR="00FC7179" w:rsidRPr="00FC7179" w:rsidRDefault="00210DD7" w:rsidP="00FC7179">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22426F">
        <w:rPr>
          <w:rFonts w:ascii="Times New Roman" w:hAnsi="Times New Roman"/>
          <w:i/>
          <w:sz w:val="20"/>
          <w:szCs w:val="20"/>
        </w:rPr>
        <w:t>9</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4284" w:type="dxa"/>
        <w:tblLook w:val="04A0"/>
      </w:tblPr>
      <w:tblGrid>
        <w:gridCol w:w="528"/>
        <w:gridCol w:w="2736"/>
        <w:gridCol w:w="5990"/>
        <w:gridCol w:w="1252"/>
        <w:gridCol w:w="980"/>
        <w:gridCol w:w="1397"/>
        <w:gridCol w:w="1401"/>
      </w:tblGrid>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w:t>
            </w:r>
          </w:p>
        </w:tc>
        <w:tc>
          <w:tcPr>
            <w:tcW w:w="2736" w:type="dxa"/>
          </w:tcPr>
          <w:p w:rsidR="00210DD7" w:rsidRPr="00210DD7" w:rsidRDefault="00210DD7" w:rsidP="00210DD7">
            <w:pPr>
              <w:rPr>
                <w:rFonts w:ascii="Times New Roman" w:hAnsi="Times New Roman"/>
              </w:rPr>
            </w:pPr>
            <w:r w:rsidRPr="00210DD7">
              <w:rPr>
                <w:rFonts w:ascii="Times New Roman" w:hAnsi="Times New Roman"/>
              </w:rPr>
              <w:t>Наименование</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Характеристика</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Ед. изм.</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Кол-во</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Цена, тг.</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Сумма, тг.</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w:t>
            </w:r>
          </w:p>
        </w:tc>
        <w:tc>
          <w:tcPr>
            <w:tcW w:w="2736" w:type="dxa"/>
          </w:tcPr>
          <w:p w:rsidR="00210DD7" w:rsidRPr="00210DD7" w:rsidRDefault="00210DD7" w:rsidP="00210DD7">
            <w:pPr>
              <w:jc w:val="center"/>
              <w:rPr>
                <w:rFonts w:ascii="Times New Roman" w:hAnsi="Times New Roman"/>
              </w:rPr>
            </w:pPr>
            <w:r w:rsidRPr="00210DD7">
              <w:rPr>
                <w:rFonts w:ascii="Times New Roman" w:hAnsi="Times New Roman"/>
              </w:rPr>
              <w:t>Гематоксилин Эрлиха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50550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50550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2</w:t>
            </w:r>
          </w:p>
        </w:tc>
        <w:tc>
          <w:tcPr>
            <w:tcW w:w="2736" w:type="dxa"/>
          </w:tcPr>
          <w:p w:rsidR="00210DD7" w:rsidRPr="00210DD7" w:rsidRDefault="00210DD7" w:rsidP="00210DD7">
            <w:pPr>
              <w:rPr>
                <w:rFonts w:ascii="Times New Roman" w:hAnsi="Times New Roman"/>
              </w:rPr>
            </w:pPr>
            <w:r w:rsidRPr="00210DD7">
              <w:rPr>
                <w:rFonts w:ascii="Times New Roman" w:hAnsi="Times New Roman"/>
              </w:rPr>
              <w:t>Эозин 1% спиртовой раствор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41382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41382</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3</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Противоботулиническая сыворотка тип А</w:t>
            </w:r>
          </w:p>
        </w:tc>
        <w:tc>
          <w:tcPr>
            <w:tcW w:w="5990" w:type="dxa"/>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5600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28000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4</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Противодифтерийная сыворотка</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3400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17000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lastRenderedPageBreak/>
              <w:t>5</w:t>
            </w:r>
          </w:p>
        </w:tc>
        <w:tc>
          <w:tcPr>
            <w:tcW w:w="2736" w:type="dxa"/>
          </w:tcPr>
          <w:p w:rsidR="00210DD7" w:rsidRPr="00210DD7" w:rsidRDefault="00210DD7" w:rsidP="00210DD7">
            <w:pPr>
              <w:rPr>
                <w:rFonts w:ascii="Times New Roman" w:hAnsi="Times New Roman"/>
              </w:rPr>
            </w:pPr>
            <w:r w:rsidRPr="00210DD7">
              <w:rPr>
                <w:rFonts w:ascii="Times New Roman" w:hAnsi="Times New Roman"/>
              </w:rPr>
              <w:t>Хлороформ (трихлорметан)</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6500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52000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6</w:t>
            </w:r>
          </w:p>
        </w:tc>
        <w:tc>
          <w:tcPr>
            <w:tcW w:w="2736" w:type="dxa"/>
          </w:tcPr>
          <w:p w:rsidR="00210DD7" w:rsidRPr="00210DD7" w:rsidRDefault="00210DD7" w:rsidP="00210DD7">
            <w:pPr>
              <w:rPr>
                <w:rFonts w:ascii="Times New Roman" w:hAnsi="Times New Roman"/>
              </w:rPr>
            </w:pPr>
            <w:r w:rsidRPr="00210DD7">
              <w:rPr>
                <w:rFonts w:ascii="Times New Roman" w:hAnsi="Times New Roman"/>
              </w:rPr>
              <w:t>Биомаунт</w:t>
            </w:r>
          </w:p>
        </w:tc>
        <w:tc>
          <w:tcPr>
            <w:tcW w:w="5990" w:type="dxa"/>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26000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26000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7</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4822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14466</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8</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Аминоплазмаль Б. Браун 5% Е</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5% раствор для инфузий, 250 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фл</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2520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126000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9</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Фентанил</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95,65</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66955</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10</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Натрия оксибутират</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257</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7710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11</w:t>
            </w:r>
          </w:p>
        </w:tc>
        <w:tc>
          <w:tcPr>
            <w:tcW w:w="2736" w:type="dxa"/>
          </w:tcPr>
          <w:p w:rsidR="00210DD7" w:rsidRPr="00210DD7" w:rsidRDefault="00210DD7" w:rsidP="00210DD7">
            <w:pPr>
              <w:rPr>
                <w:rFonts w:ascii="Times New Roman" w:hAnsi="Times New Roman"/>
              </w:rPr>
            </w:pPr>
            <w:r w:rsidRPr="00210DD7">
              <w:rPr>
                <w:rFonts w:ascii="Times New Roman" w:hAnsi="Times New Roman"/>
              </w:rPr>
              <w:t>Бумага ЭКГ КМП С 1200,210*20*16</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394</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15 760</w:t>
            </w:r>
          </w:p>
        </w:tc>
      </w:tr>
      <w:tr w:rsidR="00210DD7" w:rsidRPr="00210DD7" w:rsidTr="00210DD7">
        <w:tc>
          <w:tcPr>
            <w:tcW w:w="528" w:type="dxa"/>
          </w:tcPr>
          <w:p w:rsidR="00210DD7" w:rsidRPr="00210DD7" w:rsidRDefault="00AB2A17" w:rsidP="00210DD7">
            <w:pPr>
              <w:rPr>
                <w:rFonts w:ascii="Times New Roman" w:hAnsi="Times New Roman"/>
              </w:rPr>
            </w:pPr>
            <w:r>
              <w:rPr>
                <w:rFonts w:ascii="Times New Roman" w:hAnsi="Times New Roman"/>
              </w:rPr>
              <w:t>12</w:t>
            </w:r>
          </w:p>
        </w:tc>
        <w:tc>
          <w:tcPr>
            <w:tcW w:w="2736" w:type="dxa"/>
          </w:tcPr>
          <w:p w:rsidR="00210DD7" w:rsidRPr="00210DD7" w:rsidRDefault="00210DD7" w:rsidP="00210DD7">
            <w:pPr>
              <w:rPr>
                <w:rFonts w:ascii="Times New Roman" w:hAnsi="Times New Roman"/>
              </w:rPr>
            </w:pPr>
            <w:r w:rsidRPr="00210DD7">
              <w:rPr>
                <w:rFonts w:ascii="Times New Roman" w:hAnsi="Times New Roman"/>
                <w:bCs/>
                <w:color w:val="000000"/>
              </w:rPr>
              <w:t xml:space="preserve">Монополярный ВЧ шнур с переходником 5 мм </w:t>
            </w:r>
          </w:p>
        </w:tc>
        <w:tc>
          <w:tcPr>
            <w:tcW w:w="5990" w:type="dxa"/>
          </w:tcPr>
          <w:p w:rsidR="00210DD7" w:rsidRPr="00210DD7" w:rsidRDefault="00210DD7" w:rsidP="00210DD7">
            <w:pPr>
              <w:rPr>
                <w:rFonts w:ascii="Times New Roman" w:hAnsi="Times New Roman"/>
                <w:bCs/>
                <w:color w:val="000000"/>
              </w:rPr>
            </w:pPr>
            <w:r w:rsidRPr="00210DD7">
              <w:rPr>
                <w:rFonts w:ascii="Times New Roman" w:hAnsi="Times New Roman"/>
                <w:bCs/>
                <w:color w:val="000000"/>
              </w:rPr>
              <w:t>артикул 26005 М   для аппаратов KARL STORZ AUTOCON (серии 50,200,350), AUTOCON 400 ІІ (111,115) и аппаратов Erbe , серии ICC, длина 300см</w:t>
            </w:r>
          </w:p>
          <w:p w:rsidR="00210DD7" w:rsidRPr="00210DD7" w:rsidRDefault="00210DD7" w:rsidP="00210DD7">
            <w:pPr>
              <w:rPr>
                <w:rFonts w:ascii="Times New Roman" w:hAnsi="Times New Roman"/>
                <w:color w:val="000000"/>
              </w:rPr>
            </w:pP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2</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53500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107000</w:t>
            </w:r>
          </w:p>
        </w:tc>
      </w:tr>
      <w:tr w:rsidR="00210DD7" w:rsidRPr="00210DD7" w:rsidTr="00210DD7">
        <w:tc>
          <w:tcPr>
            <w:tcW w:w="528" w:type="dxa"/>
          </w:tcPr>
          <w:p w:rsidR="00210DD7" w:rsidRPr="00210DD7" w:rsidRDefault="00210DD7" w:rsidP="00210DD7">
            <w:pPr>
              <w:rPr>
                <w:rFonts w:ascii="Times New Roman" w:hAnsi="Times New Roman"/>
              </w:rPr>
            </w:pPr>
          </w:p>
        </w:tc>
        <w:tc>
          <w:tcPr>
            <w:tcW w:w="2736" w:type="dxa"/>
          </w:tcPr>
          <w:p w:rsidR="00210DD7" w:rsidRPr="00210DD7" w:rsidRDefault="00210DD7" w:rsidP="00210DD7">
            <w:pPr>
              <w:jc w:val="center"/>
              <w:rPr>
                <w:rFonts w:ascii="Times New Roman" w:hAnsi="Times New Roman"/>
                <w:b/>
              </w:rPr>
            </w:pPr>
            <w:r w:rsidRPr="00210DD7">
              <w:rPr>
                <w:rFonts w:ascii="Times New Roman" w:hAnsi="Times New Roman"/>
                <w:b/>
              </w:rPr>
              <w:t>ИТОГО</w:t>
            </w:r>
          </w:p>
        </w:tc>
        <w:tc>
          <w:tcPr>
            <w:tcW w:w="5990" w:type="dxa"/>
          </w:tcPr>
          <w:p w:rsidR="00210DD7" w:rsidRPr="00210DD7" w:rsidRDefault="00210DD7" w:rsidP="00210DD7">
            <w:pPr>
              <w:rPr>
                <w:rFonts w:ascii="Times New Roman" w:hAnsi="Times New Roman"/>
                <w:color w:val="000000"/>
              </w:rPr>
            </w:pPr>
          </w:p>
        </w:tc>
        <w:tc>
          <w:tcPr>
            <w:tcW w:w="5030" w:type="dxa"/>
            <w:gridSpan w:val="4"/>
          </w:tcPr>
          <w:p w:rsidR="00210DD7" w:rsidRPr="00210DD7" w:rsidRDefault="00AB2A17" w:rsidP="00210DD7">
            <w:pPr>
              <w:jc w:val="right"/>
              <w:rPr>
                <w:rFonts w:ascii="Times New Roman" w:hAnsi="Times New Roman"/>
                <w:b/>
              </w:rPr>
            </w:pPr>
            <w:r>
              <w:rPr>
                <w:rFonts w:ascii="Times New Roman" w:hAnsi="Times New Roman"/>
                <w:b/>
              </w:rPr>
              <w:t>552 823</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22426F">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550148" w:rsidRPr="005D7DEA" w:rsidTr="0022426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550148" w:rsidRPr="005D7DEA" w:rsidTr="0022426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Гематоксилин Эрлиха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Эозин 1% спиртовой раствор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 xml:space="preserve">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w:t>
            </w:r>
            <w:r w:rsidRPr="00210DD7">
              <w:rPr>
                <w:rFonts w:ascii="Times New Roman" w:hAnsi="Times New Roman"/>
                <w:color w:val="212529"/>
                <w:shd w:val="clear" w:color="auto" w:fill="FFFFFF"/>
              </w:rPr>
              <w:lastRenderedPageBreak/>
              <w:t>интенсивно, чем водные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lastRenderedPageBreak/>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Противоботулиническая сыворотка тип 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Противодифтерийная сыворотка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Хлороформ (трихлорметан)</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Биомаунт</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Аминоплазмаль Б. Браун 5% Е</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5% раствор для инфузий, 250 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Фентанил</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jc w:val="center"/>
              <w:rPr>
                <w:rFonts w:ascii="Times New Roman" w:hAnsi="Times New Roman"/>
                <w:bCs/>
                <w:sz w:val="24"/>
                <w:szCs w:val="24"/>
              </w:rPr>
            </w:pPr>
            <w:r>
              <w:rPr>
                <w:rFonts w:ascii="Times New Roman" w:hAnsi="Times New Roman"/>
                <w:bCs/>
                <w:sz w:val="24"/>
                <w:szCs w:val="24"/>
              </w:rPr>
              <w:t>700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Натрия оксибутират</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2426F"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Бумага ЭКГ КМП С 1200,210*20*16</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2426F">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2426F"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12</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bCs/>
                <w:color w:val="000000"/>
              </w:rPr>
              <w:t xml:space="preserve">Монополярный ВЧ шнур с переходником 5 мм </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bCs/>
                <w:color w:val="000000"/>
              </w:rPr>
            </w:pPr>
            <w:r w:rsidRPr="00210DD7">
              <w:rPr>
                <w:rFonts w:ascii="Times New Roman" w:hAnsi="Times New Roman"/>
                <w:bCs/>
                <w:color w:val="000000"/>
              </w:rPr>
              <w:t>артикул 26005 М   для аппаратов KARL STORZ AUTOCON (серии 50,200,350), AUTOCON 400 ІІ (111,115) и аппаратов Erbe , серии ICC, длина 300см</w:t>
            </w:r>
          </w:p>
          <w:p w:rsidR="00210DD7" w:rsidRPr="00210DD7" w:rsidRDefault="00210DD7" w:rsidP="00210DD7">
            <w:pPr>
              <w:rPr>
                <w:rFonts w:ascii="Times New Roman" w:hAnsi="Times New Roman"/>
                <w:color w:val="000000"/>
              </w:rPr>
            </w:pP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lastRenderedPageBreak/>
              <w:t>шт</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lastRenderedPageBreak/>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F1B0F">
        <w:rPr>
          <w:rFonts w:ascii="Times New Roman" w:hAnsi="Times New Roman"/>
          <w:i/>
          <w:sz w:val="20"/>
          <w:szCs w:val="20"/>
        </w:rPr>
        <w:t>1</w:t>
      </w:r>
      <w:r w:rsidR="0022426F">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20" w:rsidRDefault="00951E20" w:rsidP="004B5FBC">
      <w:pPr>
        <w:spacing w:after="0" w:line="240" w:lineRule="auto"/>
      </w:pPr>
      <w:r>
        <w:separator/>
      </w:r>
    </w:p>
  </w:endnote>
  <w:endnote w:type="continuationSeparator" w:id="1">
    <w:p w:rsidR="00951E20" w:rsidRDefault="00951E2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20" w:rsidRDefault="00951E20" w:rsidP="004B5FBC">
      <w:pPr>
        <w:spacing w:after="0" w:line="240" w:lineRule="auto"/>
      </w:pPr>
      <w:r>
        <w:separator/>
      </w:r>
    </w:p>
  </w:footnote>
  <w:footnote w:type="continuationSeparator" w:id="1">
    <w:p w:rsidR="00951E20" w:rsidRDefault="00951E2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5362"/>
    <w:rsid w:val="00232717"/>
    <w:rsid w:val="00233767"/>
    <w:rsid w:val="002353DD"/>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1E20"/>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2023-06-21T06:50:00Z</dcterms:created>
  <dcterms:modified xsi:type="dcterms:W3CDTF">2023-06-21T06:50:00Z</dcterms:modified>
</cp:coreProperties>
</file>